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03:32 МСК · База обновлена: 28.08.2026, 00:08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референс-центр по малярии для контроля и подтверждения диагноза доставлены препараты крови на малярию (см. фото). В результатах анализа диагноз: _P__.__falciparum_, кольцевидные трофозоиты. Интенсивность паразитемии: ++++</w:t>
      </w:r>
    </w:p>
    <w:p>
      <w:r>
        <w:drawing>
          <wp:inline xmlns:a="http://schemas.openxmlformats.org/drawingml/2006/main" xmlns:pic="http://schemas.openxmlformats.org/drawingml/2006/picture">
            <wp:extent cx="5303520" cy="370557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8a61b0b55d3a46ecadb0254025410d47c25020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055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Ситуация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мазка и толстой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толстого мазка и толстой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толстого мазка и тонкой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нативного мазка и 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тонкого мазка и толстой капли</w:t>
      </w:r>
    </w:p>
    <w:p>
      <w:pPr>
        <w:spacing w:after="58"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 – Гимза.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окрашенные по методу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Циля – Нильсена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Романовского – Гимза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Маллори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Романовского – Гимза</w:t>
      </w:r>
    </w:p>
    <w:p>
      <w:pPr>
        <w:spacing w:after="58"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 – Гимза.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Правильно окрашенный препарат крови для исследования на малярию макроскопически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фиолетовый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розовый цвет с сиреневым оттенком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синий цвет с сиреневым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зеленый цвет с синим оттенком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синий цвет с сиреневым оттенком</w:t>
      </w:r>
    </w:p>
    <w:p>
      <w:pPr>
        <w:spacing w:after="58"/>
      </w:pPr>
      <w:r>
        <w:rPr>
          <w:b w:val="0"/>
          <w:i w:val="0"/>
        </w:rPr>
        <w:t>Правильно окрашенный препарат макроскопически имеет синий цвет с сиреневым оттенком.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Использовать венозную кровь для приготовления препаратов для исследования на малярию можно только в случаях, если известно, что в качестве антикоагулянта применяли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фторид 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ЭДТА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цитрат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гепарин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ЭДТА</w:t>
      </w:r>
    </w:p>
    <w:p>
      <w:pPr>
        <w:spacing w:after="58"/>
      </w:pPr>
      <w:r>
        <w:rPr>
          <w:b w:val="0"/>
          <w:i w:val="0"/>
        </w:rPr>
        <w:t>Использовать венозную кровь можно только в случаях, если известно, что в качестве антикоагулянта применяли ЭДТА (этилендиаминтетрауксусная кислота), другие антикоагулянты, такие как гепарин, цитрат, не должны быть использованы, так как они могут влиять на морфологию паразитов.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.4.3.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Показателем достаточного содержания крови в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является обнаружение в 1 поле зрения микроскопа в среднем 10-20 лейкоцитов (увеличение: объектив ×90 – ×100, окуляр ×7; ×8; ×10)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тонком мазке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нативном мазке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толстой капле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тонкой капле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толстой капле</w:t>
      </w:r>
    </w:p>
    <w:p>
      <w:pPr>
        <w:spacing w:after="58"/>
      </w:pPr>
      <w:r>
        <w:rPr>
          <w:b w:val="0"/>
          <w:i w:val="0"/>
        </w:rPr>
        <w:t>Независимо от методики приготовления показателем достаточного содержания крови в толстой капле является обнаружение в 1 поле зрения микроскопа в среднем 10-20 лейкоцитов (увеличение: объектив ×90 - ×100, окуляр ×7; ×8; ×10).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.4.4.1.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pH буферного раствора для приготовления рабочего раствора красителя Романовского – Гимза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7,3-7,5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7,0-7,2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7,7-7,9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6,5-6,7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2 - 7,0-7,2</w:t>
      </w:r>
    </w:p>
    <w:p>
      <w:pPr>
        <w:spacing w:after="58"/>
      </w:pPr>
      <w:r>
        <w:rPr>
          <w:b w:val="0"/>
          <w:i w:val="0"/>
        </w:rPr>
        <w:t>Приготовленный раствор должен иметь рН (7,0 ± 0,2). Точное соблюдение требуемой реакции буфера важно для правильной окраски. Если рН &lt; 6,8, то следует добавить Na2HPO4, если рН &gt; 7,2, то добавляется KH2PO4. Количество реактивов, необходимых для доведения pH, подбирают опытным путем.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.4.2.2.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Фиксируют препараты крови на малярию, приготовленные только методом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толстого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тонкого мазка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мин.,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Фиксацию препаратов крови на малярию проводят путем погружения в 96° этиловый спирт на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этилового спирта, в качестве фиксирующего реагента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ледяная уксусная кислота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азотнокислый натрий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фиксатор Шаудина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фиксатор-краситель по Май – Грюнвальду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фиксатор-краситель по Май – Грюнвальду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Азурофильные элементы, обнаруживающиеся в эритроцитах, пораженных _P.falciparum_,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пятнистостью Маурера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зернистостью Джеймса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зернистостью Шюффнера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пятнистостью Зимана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пятнистостью Маурера</w:t>
      </w:r>
    </w:p>
    <w:p>
      <w:pPr>
        <w:spacing w:after="58"/>
      </w:pPr>
      <w:r>
        <w:rPr>
          <w:b w:val="0"/>
          <w:i w:val="0"/>
        </w:rPr>
        <w:t>В эритроцитах, содержащих крупные кольца и последующие возрастные стадии, иногда обнаруживается так называемая пятнистость Маурера – азурофильные элементы более крупного (но не одинакового размера), чем зернистость Шюффнера или Джеймса (их, в отличие от элементов зернистости, можно пересчитать).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5, п.5.1.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Кольцевидные трофозоиты _P.falciparum_ представлены на изображении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Рис.4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Рис.2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Рис.3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Рис.1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Рис.1</w:t>
      </w:r>
    </w:p>
    <w:p>
      <w:pPr>
        <w:spacing w:after="58"/>
      </w:pPr>
      <w:r>
        <w:rPr>
          <w:b w:val="0"/>
          <w:i w:val="0"/>
        </w:rPr>
        <w:t>Кольцевидные трофозоиты. В основном меньшего размера, чем кольца других видов паразитов. Занимают 1/5 – 1/10 пораженного эритроцита. Молодые кольца очень мелкие, ядро четко выражено, иногда представлено двумя отдельными скоплениями хроматина: более крупное – ядро собственно и мелкое – кариосома; они могут быть расположены рядом или на расстоянии друг от друга, тогда кольцо напоминает «подкову».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5, п.5.1.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малярии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_Cestoda_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_Trematoda_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_Sporozoa_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_Nematoda_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_Sporozoa_</w:t>
      </w:r>
    </w:p>
    <w:p>
      <w:pPr>
        <w:spacing w:after="58"/>
      </w:pPr>
      <w:r>
        <w:rPr>
          <w:b w:val="0"/>
          <w:i w:val="0"/>
        </w:rPr>
        <w:t>Возбудители малярии относятся к подцарству простейших – _Protozoa_, классу споровиков – _Sporozoa_, семейству _Plasmodiidae_, роду _Plasmodium_.</w:t>
      </w:r>
    </w:p>
    <w:p>
      <w:pPr>
        <w:spacing w:after="58"/>
      </w:pPr>
      <w:r>
        <w:rPr>
          <w:b w:val="0"/>
          <w:i w:val="0"/>
        </w:rPr>
        <w:t>Глава 9, раздел 9.1.1. Брико Н.И., Руководство по эпидемиологии инфекционных болезней, т.2 / Н.И. Брико, Г.Г.Онищенко, В.И. Покровский - М. : МИА, 2019. - 764 с. - ISBN 978-5-9986-0356-3</w:t>
      </w:r>
    </w:p>
    <w:p>
      <w:pPr>
        <w:spacing w:after="58"/>
      </w:pPr>
      <w:r>
        <w:rPr>
          <w:b w:val="0"/>
          <w:i w:val="0"/>
        </w:rPr>
        <w:t>Алексеев, В. В. Медицинские лабораторные технологии : руководство по клинической лабораторной диагностике : в 2 т. Т. 1 / [В. В. Алексеев и др. ]; под ред. А. И. Карпищенко. - 3-е изд. , перераб. и доп. - Москва : ГЭОТАР-Медиа, 2012. - 472 с. - ISBN 978-5-9704-2274-8.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4997094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88b1341b314f40700fb7cd8cd0dd967a212e31.jp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970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749597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f14db5f4b1f661b7cd9584a67cb10df516a59d0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495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874471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363c51220b4d300cd491330a2a9332087efe1fa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87447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18763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77c5232caa1096cd6bccd34c147b62531e9dac3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1876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malaria4.2.3222-14/" TargetMode="External"/><Relationship Id="rId22" Type="http://schemas.openxmlformats.org/officeDocument/2006/relationships/hyperlink" Target="https://library.mededtech.ru/rest/documents/malaria4.2.3222-14/#paragraph_m152v1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malaria4.2.3222-14/#paragraph_5gnkj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malaria4.2.3222-14/#list_item_r8apli" TargetMode="External"/><Relationship Id="rId27" Type="http://schemas.openxmlformats.org/officeDocument/2006/relationships/hyperlink" Target="https://library.mededtech.ru/rest/documents/malaria4.2.3222-14/#paragraph_ue29g6" TargetMode="External"/><Relationship Id="rId28" Type="http://schemas.openxmlformats.org/officeDocument/2006/relationships/hyperlink" Target="https://library.mededtech.ru/rest/documents/malaria4.2.3222-14/#paragraph_u0ff10" TargetMode="External"/><Relationship Id="rId29" Type="http://schemas.openxmlformats.org/officeDocument/2006/relationships/hyperlink" Target="https://library.mededtech.ru/rest/documents/malaria4.2.3222-14/#4_4_4_&#1060;&#1080;&#1082;&#1089;&#1072;&#1094;&#1080;&#1103;_&#1090;&#1086;&#1085;&#1082;&#1080;&#1093;_&#1084;&#1072;&#1079;&#1082;&#1086;&#1074;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malaria4.2.3222-14/#paragraph_gi1n49" TargetMode="External"/><Relationship Id="rId32" Type="http://schemas.openxmlformats.org/officeDocument/2006/relationships/hyperlink" Target="https://library.mededtech.ru/rest/documents/malaria4.2.3222-14/#table_vfnv31" TargetMode="External"/><Relationship Id="rId33" Type="http://schemas.openxmlformats.org/officeDocument/2006/relationships/hyperlink" Target="https://library.mededtech.ru/rest/documents/ISBN9785970422748/?anchor=paragraph_gs9rr2#paragraph_gs9rr2" TargetMode="External"/><Relationship Id="rId34" Type="http://schemas.openxmlformats.org/officeDocument/2006/relationships/image" Target="media/image9.jpg"/><Relationship Id="rId35" Type="http://schemas.openxmlformats.org/officeDocument/2006/relationships/image" Target="media/image10.jpg"/><Relationship Id="rId36" Type="http://schemas.openxmlformats.org/officeDocument/2006/relationships/image" Target="media/image11.jpg"/><Relationship Id="rId37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